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line="560" w:lineRule="atLeast"/>
        <w:ind w:left="0" w:firstLine="64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4"/>
          <w:szCs w:val="14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lang w:val="en-US" w:eastAsia="zh-CN" w:bidi="ar"/>
        </w:rPr>
        <w:t>（二）招聘岗位、资格条件及要求</w:t>
      </w:r>
    </w:p>
    <w:tbl>
      <w:tblPr>
        <w:tblW w:w="946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08"/>
        <w:gridCol w:w="1799"/>
        <w:gridCol w:w="1080"/>
        <w:gridCol w:w="2340"/>
        <w:gridCol w:w="3240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6" w:hRule="atLeast"/>
        </w:trPr>
        <w:tc>
          <w:tcPr>
            <w:tcW w:w="10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9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10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32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岗位资格要求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6" w:hRule="atLeast"/>
        </w:trPr>
        <w:tc>
          <w:tcPr>
            <w:tcW w:w="100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财务会计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1名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会计类专业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4"/>
                <w:szCs w:val="14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全日制大学本科及以上学历，具有会计从业资格证，有相关工作经验者优先考虑并适当放宽条件。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42059"/>
    <w:rsid w:val="0134205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2018-08-17T03:13:00Z</dcterms:created>
  <dc:creator>武大娟</dc:creator>
  <cp:lastModifiedBy>武大娟</cp:lastModifiedBy>
  <dcterms:modified xsi:type="dcterms:W3CDTF">2018-08-17T03:13:16Z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